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8ED" w:rsidRDefault="00C778ED" w:rsidP="00C778ED">
      <w:pPr>
        <w:rPr>
          <w:rFonts w:ascii="黑体" w:eastAsia="黑体" w:hAnsi="黑体" w:hint="eastAsia"/>
          <w:szCs w:val="20"/>
        </w:rPr>
      </w:pPr>
      <w:r w:rsidRPr="00246015">
        <w:rPr>
          <w:rFonts w:ascii="黑体" w:eastAsia="黑体" w:hAnsi="黑体" w:hint="eastAsia"/>
          <w:szCs w:val="20"/>
        </w:rPr>
        <w:t>附表3</w:t>
      </w:r>
    </w:p>
    <w:p w:rsidR="00C778ED" w:rsidRPr="00246015" w:rsidRDefault="00C778ED" w:rsidP="00C778ED">
      <w:pPr>
        <w:jc w:val="center"/>
        <w:rPr>
          <w:rFonts w:ascii="方正小标宋简体" w:eastAsia="方正小标宋简体" w:hAnsi="黑体" w:hint="eastAsia"/>
          <w:szCs w:val="20"/>
        </w:rPr>
      </w:pPr>
      <w:r w:rsidRPr="00246015">
        <w:rPr>
          <w:rFonts w:ascii="方正小标宋简体" w:eastAsia="方正小标宋简体" w:hAnsi="黑体" w:hint="eastAsia"/>
          <w:szCs w:val="20"/>
        </w:rPr>
        <w:t>试点企业基本情况统计表</w:t>
      </w:r>
    </w:p>
    <w:tbl>
      <w:tblPr>
        <w:tblW w:w="0" w:type="auto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2565"/>
        <w:gridCol w:w="2395"/>
        <w:gridCol w:w="1530"/>
        <w:gridCol w:w="2310"/>
      </w:tblGrid>
      <w:tr w:rsidR="00C778ED" w:rsidRPr="00246015" w:rsidTr="002E0644">
        <w:trPr>
          <w:trHeight w:hRule="exact" w:val="340"/>
        </w:trPr>
        <w:tc>
          <w:tcPr>
            <w:tcW w:w="800" w:type="dxa"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ascii="黑体" w:eastAsia="黑体" w:hAnsi="黑体" w:hint="eastAsia"/>
                <w:b/>
                <w:bCs/>
                <w:sz w:val="21"/>
                <w:szCs w:val="20"/>
              </w:rPr>
            </w:pPr>
            <w:r w:rsidRPr="00246015">
              <w:rPr>
                <w:rFonts w:ascii="黑体" w:eastAsia="黑体" w:hAnsi="黑体" w:hint="eastAsia"/>
                <w:b/>
                <w:bCs/>
                <w:sz w:val="21"/>
                <w:szCs w:val="20"/>
              </w:rPr>
              <w:t>指标类别</w:t>
            </w: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ascii="黑体" w:eastAsia="黑体" w:hAnsi="黑体" w:hint="eastAsia"/>
                <w:b/>
                <w:bCs/>
                <w:sz w:val="21"/>
                <w:szCs w:val="20"/>
              </w:rPr>
            </w:pPr>
            <w:r w:rsidRPr="00246015">
              <w:rPr>
                <w:rFonts w:ascii="黑体" w:eastAsia="黑体" w:hAnsi="黑体" w:hint="eastAsia"/>
                <w:b/>
                <w:bCs/>
                <w:sz w:val="21"/>
                <w:szCs w:val="20"/>
              </w:rPr>
              <w:t>指标名称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ascii="黑体" w:eastAsia="黑体" w:hAnsi="黑体" w:hint="eastAsia"/>
                <w:b/>
                <w:bCs/>
                <w:sz w:val="21"/>
                <w:szCs w:val="20"/>
              </w:rPr>
            </w:pPr>
            <w:r w:rsidRPr="00246015">
              <w:rPr>
                <w:rFonts w:ascii="黑体" w:eastAsia="黑体" w:hAnsi="黑体" w:hint="eastAsia"/>
                <w:b/>
                <w:bCs/>
                <w:sz w:val="21"/>
                <w:szCs w:val="20"/>
              </w:rPr>
              <w:t>2020年指标值</w:t>
            </w: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ascii="黑体" w:eastAsia="黑体" w:hAnsi="黑体" w:hint="eastAsia"/>
                <w:b/>
                <w:bCs/>
                <w:sz w:val="21"/>
                <w:szCs w:val="20"/>
              </w:rPr>
            </w:pPr>
            <w:r w:rsidRPr="00246015">
              <w:rPr>
                <w:rFonts w:ascii="黑体" w:eastAsia="黑体" w:hAnsi="黑体" w:hint="eastAsia"/>
                <w:b/>
                <w:bCs/>
                <w:sz w:val="21"/>
                <w:szCs w:val="20"/>
              </w:rPr>
              <w:t>备注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 w:val="restart"/>
          </w:tcPr>
          <w:p w:rsidR="00C778ED" w:rsidRPr="00246015" w:rsidRDefault="00C778ED" w:rsidP="002E0644">
            <w:pPr>
              <w:spacing w:line="300" w:lineRule="exac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rPr>
                <w:rFonts w:eastAsia="宋体" w:hint="eastAsia"/>
                <w:b/>
                <w:bCs/>
                <w:sz w:val="21"/>
                <w:szCs w:val="20"/>
              </w:rPr>
            </w:pP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基本情</w:t>
            </w: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 xml:space="preserve"> </w:t>
            </w:r>
            <w:proofErr w:type="gramStart"/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况</w:t>
            </w:r>
            <w:proofErr w:type="gramEnd"/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所属行业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注册资本（亿元）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占地面积（</w:t>
            </w:r>
            <w:proofErr w:type="gramStart"/>
            <w:r w:rsidRPr="00246015">
              <w:rPr>
                <w:rFonts w:eastAsia="宋体" w:hint="eastAsia"/>
                <w:sz w:val="21"/>
                <w:szCs w:val="20"/>
              </w:rPr>
              <w:t>万平方米</w:t>
            </w:r>
            <w:proofErr w:type="gramEnd"/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员工总人数（人）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center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资产总额（亿元）</w:t>
            </w:r>
            <w:bookmarkStart w:id="0" w:name="_GoBack"/>
            <w:bookmarkEnd w:id="0"/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经营情况</w:t>
            </w: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营业收入（亿元）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营业收入增长率（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利润（亿元）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纳税额（亿元）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人均营收额（百万元）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主要产品市场占有率国内排名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品牌国内排名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528"/>
        </w:trPr>
        <w:tc>
          <w:tcPr>
            <w:tcW w:w="80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两业融合发展情况</w:t>
            </w:r>
          </w:p>
        </w:tc>
        <w:tc>
          <w:tcPr>
            <w:tcW w:w="2565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  <w:highlight w:val="yellow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服务业中间投入及占全部投入比重</w:t>
            </w:r>
          </w:p>
        </w:tc>
        <w:tc>
          <w:tcPr>
            <w:tcW w:w="2395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投入（万元）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服务业中间投入方向及内容简述；提供佐证材料</w:t>
            </w:r>
          </w:p>
        </w:tc>
      </w:tr>
      <w:tr w:rsidR="00C778ED" w:rsidRPr="00246015" w:rsidTr="002E0644">
        <w:trPr>
          <w:trHeight w:hRule="exact" w:val="422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2565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  <w:highlight w:val="yellow"/>
              </w:rPr>
            </w:pPr>
          </w:p>
        </w:tc>
        <w:tc>
          <w:tcPr>
            <w:tcW w:w="2395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比重（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2565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  <w:highlight w:val="yellow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向制造业提供服务收入及占营业总收入比重</w:t>
            </w:r>
          </w:p>
        </w:tc>
        <w:tc>
          <w:tcPr>
            <w:tcW w:w="2395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收入（万元）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服务方向及内容简述；提供佐证材料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2565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95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比重（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人才支撑</w:t>
            </w: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具有本科及以上学历人数占员工总人数比例（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企业研发工作人员占员工总人数比例（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 w:val="restart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  <w:r w:rsidRPr="00246015">
              <w:rPr>
                <w:rFonts w:eastAsia="宋体" w:hint="eastAsia"/>
                <w:b/>
                <w:bCs/>
                <w:sz w:val="21"/>
                <w:szCs w:val="20"/>
              </w:rPr>
              <w:t>科技创新</w:t>
            </w: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主持、参与制（修）订国家、行业、地方标准（项）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掌握自主知识产权或先进知识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b/>
                <w:bCs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R&amp;D</w:t>
            </w:r>
            <w:r w:rsidRPr="00246015">
              <w:rPr>
                <w:rFonts w:eastAsia="宋体" w:hint="eastAsia"/>
                <w:sz w:val="21"/>
                <w:szCs w:val="20"/>
              </w:rPr>
              <w:t>经费支出占营业收入比重（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人均发明专利拥有量（件</w:t>
            </w:r>
            <w:r w:rsidRPr="00246015">
              <w:rPr>
                <w:rFonts w:eastAsia="宋体" w:hint="eastAsia"/>
                <w:sz w:val="21"/>
                <w:szCs w:val="20"/>
              </w:rPr>
              <w:t>/</w:t>
            </w:r>
            <w:r w:rsidRPr="00246015">
              <w:rPr>
                <w:rFonts w:eastAsia="宋体" w:hint="eastAsia"/>
                <w:sz w:val="21"/>
                <w:szCs w:val="20"/>
              </w:rPr>
              <w:t>万人）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省级以上研发或公共服务平台数量（</w:t>
            </w:r>
            <w:proofErr w:type="gramStart"/>
            <w:r w:rsidRPr="00246015">
              <w:rPr>
                <w:rFonts w:eastAsia="宋体" w:hint="eastAsia"/>
                <w:sz w:val="21"/>
                <w:szCs w:val="20"/>
              </w:rPr>
              <w:t>个</w:t>
            </w:r>
            <w:proofErr w:type="gramEnd"/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认定为省级以上高新技术企业、科技型企业或其他类似称号数量（</w:t>
            </w:r>
            <w:proofErr w:type="gramStart"/>
            <w:r w:rsidRPr="00246015">
              <w:rPr>
                <w:rFonts w:eastAsia="宋体" w:hint="eastAsia"/>
                <w:sz w:val="21"/>
                <w:szCs w:val="20"/>
              </w:rPr>
              <w:t>个</w:t>
            </w:r>
            <w:proofErr w:type="gramEnd"/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提供佐证材料</w:t>
            </w:r>
          </w:p>
        </w:tc>
      </w:tr>
      <w:tr w:rsidR="00C778ED" w:rsidRPr="00246015" w:rsidTr="002E0644">
        <w:trPr>
          <w:trHeight w:hRule="exact" w:val="340"/>
        </w:trPr>
        <w:tc>
          <w:tcPr>
            <w:tcW w:w="800" w:type="dxa"/>
            <w:vMerge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4960" w:type="dxa"/>
            <w:gridSpan w:val="2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  <w:r w:rsidRPr="00246015">
              <w:rPr>
                <w:rFonts w:eastAsia="宋体" w:hint="eastAsia"/>
                <w:sz w:val="21"/>
                <w:szCs w:val="20"/>
              </w:rPr>
              <w:t>企业信息化投入占营业收入比重（</w:t>
            </w:r>
            <w:r w:rsidRPr="00246015">
              <w:rPr>
                <w:rFonts w:eastAsia="宋体" w:hint="eastAsia"/>
                <w:sz w:val="21"/>
                <w:szCs w:val="20"/>
              </w:rPr>
              <w:t>%</w:t>
            </w:r>
            <w:r w:rsidRPr="00246015">
              <w:rPr>
                <w:rFonts w:eastAsia="宋体" w:hint="eastAsia"/>
                <w:sz w:val="21"/>
                <w:szCs w:val="20"/>
              </w:rPr>
              <w:t>）</w:t>
            </w:r>
          </w:p>
        </w:tc>
        <w:tc>
          <w:tcPr>
            <w:tcW w:w="153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  <w:tc>
          <w:tcPr>
            <w:tcW w:w="2310" w:type="dxa"/>
          </w:tcPr>
          <w:p w:rsidR="00C778ED" w:rsidRPr="00246015" w:rsidRDefault="00C778ED" w:rsidP="002E0644">
            <w:pPr>
              <w:spacing w:line="300" w:lineRule="exact"/>
              <w:jc w:val="left"/>
              <w:rPr>
                <w:rFonts w:eastAsia="宋体" w:hint="eastAsia"/>
                <w:sz w:val="21"/>
                <w:szCs w:val="20"/>
              </w:rPr>
            </w:pPr>
          </w:p>
        </w:tc>
      </w:tr>
    </w:tbl>
    <w:p w:rsidR="00C778ED" w:rsidRPr="00246015" w:rsidRDefault="00C778ED" w:rsidP="00C778ED">
      <w:pPr>
        <w:spacing w:line="400" w:lineRule="exact"/>
        <w:ind w:left="420" w:hangingChars="200" w:hanging="420"/>
        <w:rPr>
          <w:rFonts w:ascii="新宋体" w:eastAsia="新宋体" w:hAnsi="新宋体" w:hint="eastAsia"/>
          <w:sz w:val="21"/>
          <w:szCs w:val="20"/>
        </w:rPr>
      </w:pPr>
      <w:r w:rsidRPr="00246015">
        <w:rPr>
          <w:rFonts w:ascii="新宋体" w:eastAsia="新宋体" w:hAnsi="新宋体" w:hint="eastAsia"/>
          <w:sz w:val="21"/>
          <w:szCs w:val="16"/>
        </w:rPr>
        <w:t>注：</w:t>
      </w:r>
      <w:r w:rsidRPr="00246015">
        <w:rPr>
          <w:rFonts w:ascii="新宋体" w:eastAsia="新宋体" w:hAnsi="新宋体" w:hint="eastAsia"/>
          <w:sz w:val="21"/>
          <w:szCs w:val="20"/>
        </w:rPr>
        <w:t>1.填报2020年相应指标数据,如暂无2020年最新数据,可填写2019年数据,并在备注中注明。2.除特殊标明外,其他可提供证明材料的尽量提供,企业对填报相关内容真实性负责。</w:t>
      </w:r>
    </w:p>
    <w:p w:rsidR="00B82F6B" w:rsidRPr="00C778ED" w:rsidRDefault="00B82F6B"/>
    <w:sectPr w:rsidR="00B82F6B" w:rsidRPr="00C77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ED"/>
    <w:rsid w:val="00355A39"/>
    <w:rsid w:val="00AA2206"/>
    <w:rsid w:val="00B82F6B"/>
    <w:rsid w:val="00C064DC"/>
    <w:rsid w:val="00C7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558EE0-4B3D-4CDD-895A-0B1405D8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E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</dc:creator>
  <cp:keywords/>
  <dc:description/>
  <cp:lastModifiedBy>管理</cp:lastModifiedBy>
  <cp:revision>2</cp:revision>
  <dcterms:created xsi:type="dcterms:W3CDTF">2021-01-20T10:29:00Z</dcterms:created>
  <dcterms:modified xsi:type="dcterms:W3CDTF">2021-01-20T10:29:00Z</dcterms:modified>
</cp:coreProperties>
</file>